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60" w:lineRule="auto"/>
        <w:ind w:right="-120"/>
        <w:jc w:val="center"/>
        <w:rPr>
          <w:rFonts w:ascii="DFKai-SB" w:cs="DFKai-SB" w:eastAsia="DFKai-SB" w:hAnsi="DFKai-SB"/>
          <w:color w:val="000000"/>
        </w:rPr>
      </w:pPr>
      <w:r w:rsidDel="00000000" w:rsidR="00000000" w:rsidRPr="00000000">
        <w:rPr>
          <w:rFonts w:ascii="DFKai-SB" w:cs="DFKai-SB" w:eastAsia="DFKai-SB" w:hAnsi="DFKai-SB"/>
          <w:color w:val="000000"/>
          <w:sz w:val="40"/>
          <w:szCs w:val="40"/>
          <w:rtl w:val="0"/>
        </w:rPr>
        <w:t xml:space="preserve">                                </w:t>
      </w:r>
      <w:r w:rsidDel="00000000" w:rsidR="00000000" w:rsidRPr="00000000">
        <w:rPr>
          <w:rFonts w:ascii="DFKai-SB" w:cs="DFKai-SB" w:eastAsia="DFKai-SB" w:hAnsi="DFKai-SB"/>
          <w:color w:val="000000"/>
          <w:rtl w:val="0"/>
        </w:rPr>
        <w:t xml:space="preserve">本會第15屆第4次董事會決議通過</w:t>
      </w:r>
    </w:p>
    <w:p w:rsidR="00000000" w:rsidDel="00000000" w:rsidP="00000000" w:rsidRDefault="00000000" w:rsidRPr="00000000" w14:paraId="00000002">
      <w:pPr>
        <w:spacing w:line="460" w:lineRule="auto"/>
        <w:ind w:right="-120"/>
        <w:jc w:val="center"/>
        <w:rPr>
          <w:rFonts w:ascii="DFKai-SB" w:cs="DFKai-SB" w:eastAsia="DFKai-SB" w:hAnsi="DFKai-SB"/>
          <w:color w:val="000000"/>
          <w:sz w:val="40"/>
          <w:szCs w:val="40"/>
        </w:rPr>
      </w:pPr>
      <w:r w:rsidDel="00000000" w:rsidR="00000000" w:rsidRPr="00000000">
        <w:rPr>
          <w:rFonts w:ascii="DFKai-SB" w:cs="DFKai-SB" w:eastAsia="DFKai-SB" w:hAnsi="DFKai-SB"/>
          <w:color w:val="000000"/>
          <w:sz w:val="40"/>
          <w:szCs w:val="40"/>
          <w:rtl w:val="0"/>
        </w:rPr>
        <w:t xml:space="preserve">財團法人國防工業發展基金會誠信經營規範</w:t>
      </w:r>
    </w:p>
    <w:p w:rsidR="00000000" w:rsidDel="00000000" w:rsidP="00000000" w:rsidRDefault="00000000" w:rsidRPr="00000000" w14:paraId="00000003">
      <w:pPr>
        <w:spacing w:line="460" w:lineRule="auto"/>
        <w:ind w:left="560" w:right="-120" w:hanging="5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一、本規範依財團法人法第二十四條第二項、國防事務財團法人設立許可及監督辦法第八條第一項規定訂定之。</w:t>
      </w:r>
    </w:p>
    <w:p w:rsidR="00000000" w:rsidDel="00000000" w:rsidP="00000000" w:rsidRDefault="00000000" w:rsidRPr="00000000" w14:paraId="00000004">
      <w:pPr>
        <w:spacing w:line="460" w:lineRule="auto"/>
        <w:ind w:left="560" w:right="-120" w:hanging="5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二、財團法人國防工業發展基金會（以下簡稱本會）應遵守法令並本於廉潔、透明及負責之經營理念，制定以誠信為基礎之政策，並建立良好之風險控管機制，防範不誠信行為，以創造永續發展之經營環境。</w:t>
      </w:r>
    </w:p>
    <w:p w:rsidR="00000000" w:rsidDel="00000000" w:rsidP="00000000" w:rsidRDefault="00000000" w:rsidRPr="00000000" w14:paraId="00000005">
      <w:pPr>
        <w:spacing w:line="460" w:lineRule="auto"/>
        <w:ind w:left="560" w:right="-120" w:hanging="5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三、本會董事會與管理階層應積極落實誠信經營政策之承諾，於內部管理、國防工業發展基金保管、審議及運用中確實執行。</w:t>
      </w:r>
    </w:p>
    <w:p w:rsidR="00000000" w:rsidDel="00000000" w:rsidP="00000000" w:rsidRDefault="00000000" w:rsidRPr="00000000" w14:paraId="00000006">
      <w:pPr>
        <w:spacing w:line="460" w:lineRule="auto"/>
        <w:ind w:left="560" w:hanging="560"/>
        <w:jc w:val="both"/>
        <w:rPr>
          <w:rFonts w:ascii="DFKai-SB" w:cs="DFKai-SB" w:eastAsia="DFKai-SB" w:hAnsi="DFKai-SB"/>
          <w:sz w:val="28"/>
          <w:szCs w:val="28"/>
        </w:rPr>
      </w:pPr>
      <w:r w:rsidDel="00000000" w:rsidR="00000000" w:rsidRPr="00000000">
        <w:rPr>
          <w:rFonts w:ascii="DFKai-SB" w:cs="DFKai-SB" w:eastAsia="DFKai-SB" w:hAnsi="DFKai-SB"/>
          <w:color w:val="000000"/>
          <w:sz w:val="28"/>
          <w:szCs w:val="28"/>
          <w:rtl w:val="0"/>
        </w:rPr>
        <w:t xml:space="preserve">四、</w:t>
      </w:r>
      <w:r w:rsidDel="00000000" w:rsidR="00000000" w:rsidRPr="00000000">
        <w:rPr>
          <w:rFonts w:ascii="DFKai-SB" w:cs="DFKai-SB" w:eastAsia="DFKai-SB" w:hAnsi="DFKai-SB"/>
          <w:sz w:val="28"/>
          <w:szCs w:val="28"/>
          <w:rtl w:val="0"/>
        </w:rPr>
        <w:t xml:space="preserve">本規範所稱</w:t>
      </w:r>
      <w:r w:rsidDel="00000000" w:rsidR="00000000" w:rsidRPr="00000000">
        <w:rPr>
          <w:rFonts w:ascii="DFKai-SB" w:cs="DFKai-SB" w:eastAsia="DFKai-SB" w:hAnsi="DFKai-SB"/>
          <w:color w:val="000000"/>
          <w:sz w:val="28"/>
          <w:szCs w:val="28"/>
          <w:rtl w:val="0"/>
        </w:rPr>
        <w:t xml:space="preserve">不誠信行為之態樣如下：</w:t>
      </w:r>
      <w:r w:rsidDel="00000000" w:rsidR="00000000" w:rsidRPr="00000000">
        <w:rPr>
          <w:rtl w:val="0"/>
        </w:rPr>
      </w:r>
    </w:p>
    <w:p w:rsidR="00000000" w:rsidDel="00000000" w:rsidP="00000000" w:rsidRDefault="00000000" w:rsidRPr="00000000" w14:paraId="00000007">
      <w:pPr>
        <w:spacing w:line="460" w:lineRule="auto"/>
        <w:ind w:left="1456" w:hanging="145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（一）行賄、收賄或洗錢。</w:t>
      </w:r>
    </w:p>
    <w:p w:rsidR="00000000" w:rsidDel="00000000" w:rsidP="00000000" w:rsidRDefault="00000000" w:rsidRPr="00000000" w14:paraId="00000008">
      <w:pPr>
        <w:spacing w:line="460" w:lineRule="auto"/>
        <w:ind w:left="1456" w:hanging="145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（二）提供非法政治獻金。</w:t>
      </w:r>
    </w:p>
    <w:p w:rsidR="00000000" w:rsidDel="00000000" w:rsidP="00000000" w:rsidRDefault="00000000" w:rsidRPr="00000000" w14:paraId="00000009">
      <w:pPr>
        <w:spacing w:line="460" w:lineRule="auto"/>
        <w:ind w:left="1456" w:hanging="145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（三）提供或接受不當捐助或贊助。</w:t>
      </w:r>
    </w:p>
    <w:p w:rsidR="00000000" w:rsidDel="00000000" w:rsidP="00000000" w:rsidRDefault="00000000" w:rsidRPr="00000000" w14:paraId="0000000A">
      <w:pPr>
        <w:spacing w:line="460" w:lineRule="auto"/>
        <w:ind w:left="1372" w:hanging="806"/>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（四）提供或接受不合理禮物、款待或其他不正當利益。</w:t>
      </w:r>
    </w:p>
    <w:p w:rsidR="00000000" w:rsidDel="00000000" w:rsidP="00000000" w:rsidRDefault="00000000" w:rsidRPr="00000000" w14:paraId="0000000B">
      <w:pPr>
        <w:spacing w:line="460" w:lineRule="auto"/>
        <w:ind w:left="1288" w:hanging="72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（五）侵害營業秘密、商標權、專利權、著作權或其他智慧財產權。</w:t>
      </w:r>
    </w:p>
    <w:p w:rsidR="00000000" w:rsidDel="00000000" w:rsidP="00000000" w:rsidRDefault="00000000" w:rsidRPr="00000000" w14:paraId="0000000C">
      <w:pPr>
        <w:spacing w:line="460" w:lineRule="auto"/>
        <w:ind w:left="1288" w:hanging="72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（六）產品及服務於研發、採購、製造或提供，直接或間接損害其他利害關係人之權益。</w:t>
      </w:r>
    </w:p>
    <w:p w:rsidR="00000000" w:rsidDel="00000000" w:rsidP="00000000" w:rsidRDefault="00000000" w:rsidRPr="00000000" w14:paraId="0000000D">
      <w:pPr>
        <w:spacing w:line="460" w:lineRule="auto"/>
        <w:ind w:left="560" w:right="-120" w:hanging="5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五、本會之董事、監事、執行長、工作人員及受任人(以下統稱本會人員)，對於職務上之行為或違背職務之行為，不得要求、期約、收受賄賂或其他不正當利益或從事洗錢相關之行為。</w:t>
      </w:r>
    </w:p>
    <w:p w:rsidR="00000000" w:rsidDel="00000000" w:rsidP="00000000" w:rsidRDefault="00000000" w:rsidRPr="00000000" w14:paraId="0000000E">
      <w:pPr>
        <w:spacing w:line="460" w:lineRule="auto"/>
        <w:ind w:left="560" w:right="-120" w:hanging="56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六、</w:t>
      </w:r>
      <w:r w:rsidDel="00000000" w:rsidR="00000000" w:rsidRPr="00000000">
        <w:rPr>
          <w:rFonts w:ascii="DFKai-SB" w:cs="DFKai-SB" w:eastAsia="DFKai-SB" w:hAnsi="DFKai-SB"/>
          <w:sz w:val="28"/>
          <w:szCs w:val="28"/>
          <w:rtl w:val="0"/>
        </w:rPr>
        <w:t xml:space="preserve">本規範所稱不正當利益，指本會人員從事業務不當增加或獲得其本人或其關係人金錢、物品、職位、服務或其他財產上之價值。但屬正常社交禮俗，且係偶發而無影響特定權利義務之虞者，不在此限。</w:t>
      </w:r>
      <w:r w:rsidDel="00000000" w:rsidR="00000000" w:rsidRPr="00000000">
        <w:rPr>
          <w:rtl w:val="0"/>
        </w:rPr>
      </w:r>
    </w:p>
    <w:p w:rsidR="00000000" w:rsidDel="00000000" w:rsidP="00000000" w:rsidRDefault="00000000" w:rsidRPr="00000000" w14:paraId="0000000F">
      <w:pPr>
        <w:spacing w:line="460" w:lineRule="auto"/>
        <w:ind w:right="-120" w:firstLine="5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前項所稱關係人，指配偶或二親等內之親屬。</w:t>
      </w:r>
    </w:p>
    <w:p w:rsidR="00000000" w:rsidDel="00000000" w:rsidP="00000000" w:rsidRDefault="00000000" w:rsidRPr="00000000" w14:paraId="00000010">
      <w:pPr>
        <w:spacing w:line="460" w:lineRule="auto"/>
        <w:ind w:left="56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七、前點第一項但書之規定，指下列各款情形之一：</w:t>
      </w:r>
    </w:p>
    <w:p w:rsidR="00000000" w:rsidDel="00000000" w:rsidP="00000000" w:rsidRDefault="00000000" w:rsidRPr="00000000" w14:paraId="00000011">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（一）基於業務需要，於國內出差、推動業務及溝通協調時，依當地禮貌、慣例或習俗所為者。</w:t>
      </w:r>
    </w:p>
    <w:p w:rsidR="00000000" w:rsidDel="00000000" w:rsidP="00000000" w:rsidRDefault="00000000" w:rsidRPr="00000000" w14:paraId="00000012">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（二）基於業務目的，參加或邀請他人舉辦之社交活動。</w:t>
      </w:r>
    </w:p>
    <w:p w:rsidR="00000000" w:rsidDel="00000000" w:rsidP="00000000" w:rsidRDefault="00000000" w:rsidRPr="00000000" w14:paraId="00000013">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（三）因業務需要邀請或受邀參加特定之活動，且已明定前開活動之費用負擔方式、參加人數、住宿等級及期間等。</w:t>
      </w:r>
    </w:p>
    <w:p w:rsidR="00000000" w:rsidDel="00000000" w:rsidP="00000000" w:rsidRDefault="00000000" w:rsidRPr="00000000" w14:paraId="00000014">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（四）其他符合本會規定者。</w:t>
      </w:r>
    </w:p>
    <w:p w:rsidR="00000000" w:rsidDel="00000000" w:rsidP="00000000" w:rsidRDefault="00000000" w:rsidRPr="00000000" w14:paraId="00000015">
      <w:pPr>
        <w:spacing w:line="460" w:lineRule="auto"/>
        <w:ind w:left="56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八、本會人員遇有他人直接或間接提供或承諾給予第六點第一項所定之不正當利益時，除有前點各款所定情形外，應依下列程序辦理：</w:t>
      </w:r>
    </w:p>
    <w:p w:rsidR="00000000" w:rsidDel="00000000" w:rsidP="00000000" w:rsidRDefault="00000000" w:rsidRPr="00000000" w14:paraId="00000016">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（一）提供或承諾之人與其無職務上利害關係：應於收受之日起三日內，陳報其直屬主管，必要時並通知本會秘書處。</w:t>
      </w:r>
    </w:p>
    <w:p w:rsidR="00000000" w:rsidDel="00000000" w:rsidP="00000000" w:rsidRDefault="00000000" w:rsidRPr="00000000" w14:paraId="00000017">
      <w:pPr>
        <w:spacing w:line="460" w:lineRule="auto"/>
        <w:ind w:left="1292" w:hanging="812"/>
        <w:jc w:val="both"/>
        <w:rPr>
          <w:rFonts w:ascii="DFKai-SB" w:cs="DFKai-SB" w:eastAsia="DFKai-SB" w:hAnsi="DFKai-SB"/>
          <w:color w:val="000000"/>
          <w:sz w:val="28"/>
          <w:szCs w:val="28"/>
        </w:rPr>
      </w:pPr>
      <w:r w:rsidDel="00000000" w:rsidR="00000000" w:rsidRPr="00000000">
        <w:rPr>
          <w:rFonts w:ascii="DFKai-SB" w:cs="DFKai-SB" w:eastAsia="DFKai-SB" w:hAnsi="DFKai-SB"/>
          <w:sz w:val="28"/>
          <w:szCs w:val="28"/>
          <w:rtl w:val="0"/>
        </w:rPr>
        <w:t xml:space="preserve">（二）提供或承諾之人與其職務有利害關係：應予退還或拒絕，並陳報其直屬主管及通知本會秘書處處理，並視所收受利益之性質及價值，提出退還、付費收受、歸公、轉贈慈善機構或其他適當建議，陳報執行長核准後執行。</w:t>
      </w:r>
      <w:r w:rsidDel="00000000" w:rsidR="00000000" w:rsidRPr="00000000">
        <w:rPr>
          <w:rtl w:val="0"/>
        </w:rPr>
      </w:r>
    </w:p>
    <w:p w:rsidR="00000000" w:rsidDel="00000000" w:rsidP="00000000" w:rsidRDefault="00000000" w:rsidRPr="00000000" w14:paraId="00000018">
      <w:pPr>
        <w:spacing w:line="460" w:lineRule="auto"/>
        <w:ind w:left="56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九、前點第二款所稱與其職務有利害關係，指具有下列情形之一者：</w:t>
      </w:r>
    </w:p>
    <w:p w:rsidR="00000000" w:rsidDel="00000000" w:rsidP="00000000" w:rsidRDefault="00000000" w:rsidRPr="00000000" w14:paraId="00000019">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（一）具有業務往來、指揮監督、費用補（獎）助等關係。</w:t>
      </w:r>
    </w:p>
    <w:p w:rsidR="00000000" w:rsidDel="00000000" w:rsidP="00000000" w:rsidRDefault="00000000" w:rsidRPr="00000000" w14:paraId="0000001A">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（二）正在尋求、進行或已訂立承攬、買賣或其他契約關係。</w:t>
      </w:r>
    </w:p>
    <w:p w:rsidR="00000000" w:rsidDel="00000000" w:rsidP="00000000" w:rsidRDefault="00000000" w:rsidRPr="00000000" w14:paraId="0000001B">
      <w:pPr>
        <w:spacing w:line="460" w:lineRule="auto"/>
        <w:ind w:left="1292" w:hanging="81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（三）其他因本會業務之決定、執行或不執行，因此遭受有利或不利影響。</w:t>
      </w:r>
    </w:p>
    <w:p w:rsidR="00000000" w:rsidDel="00000000" w:rsidP="00000000" w:rsidRDefault="00000000" w:rsidRPr="00000000" w14:paraId="0000001C">
      <w:pPr>
        <w:spacing w:line="460" w:lineRule="auto"/>
        <w:ind w:left="560" w:hanging="56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十、本會人員如因受威脅或恐嚇而承諾、協助或從事行賄、收賄或洗錢者，應主動記錄過程陳報直屬主管並通知本會秘書處，該處應即開會研議處理方式，如發現涉有不法情事，並應通報司法或檢察機關。</w:t>
      </w:r>
    </w:p>
    <w:p w:rsidR="00000000" w:rsidDel="00000000" w:rsidP="00000000" w:rsidRDefault="00000000" w:rsidRPr="00000000" w14:paraId="0000001D">
      <w:pPr>
        <w:spacing w:line="460" w:lineRule="auto"/>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十一、本會禁止提供政治獻金，且不得藉以謀取利益或交易優勢。</w:t>
      </w:r>
    </w:p>
    <w:p w:rsidR="00000000" w:rsidDel="00000000" w:rsidP="00000000" w:rsidRDefault="00000000" w:rsidRPr="00000000" w14:paraId="0000001E">
      <w:pPr>
        <w:spacing w:line="460" w:lineRule="auto"/>
        <w:ind w:left="823" w:hanging="82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十二、本會人員應依業務相關法令辦理捐款及實物贈與，並依公益勸募條例及其子法規定辦理財物之勸募，且不得為變相行賄或有不正當之連結關係。</w:t>
      </w:r>
    </w:p>
    <w:p w:rsidR="00000000" w:rsidDel="00000000" w:rsidP="00000000" w:rsidRDefault="00000000" w:rsidRPr="00000000" w14:paraId="0000001F">
      <w:pPr>
        <w:spacing w:line="460" w:lineRule="auto"/>
        <w:ind w:left="823" w:hanging="82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十三、本會人員應依法令、本會規定及相關契約規定，妥善管理及保存本會之營業秘密、商標、專利、著作等智慧財產權，不得擅自使用、洩漏、處分、毀損或為其他有損本會權益之行為。</w:t>
      </w:r>
    </w:p>
    <w:p w:rsidR="00000000" w:rsidDel="00000000" w:rsidP="00000000" w:rsidRDefault="00000000" w:rsidRPr="00000000" w14:paraId="00000020">
      <w:pPr>
        <w:spacing w:line="460" w:lineRule="auto"/>
        <w:ind w:left="823" w:hanging="82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本會及本會人員，於產品及服務之研發、採購、製造或提供過程，應遵循相關法規，確保產品及服務之資訊透明性與安全性，</w:t>
      </w:r>
      <w:r w:rsidDel="00000000" w:rsidR="00000000" w:rsidRPr="00000000">
        <w:rPr>
          <w:rFonts w:ascii="DFKai-SB" w:cs="DFKai-SB" w:eastAsia="DFKai-SB" w:hAnsi="DFKai-SB"/>
          <w:color w:val="000000"/>
          <w:sz w:val="28"/>
          <w:szCs w:val="28"/>
          <w:rtl w:val="0"/>
        </w:rPr>
        <w:t xml:space="preserve">以防止產品或服務直接或間接損害相關利害關係人之權益、健康及安全。</w:t>
      </w:r>
      <w:r w:rsidDel="00000000" w:rsidR="00000000" w:rsidRPr="00000000">
        <w:rPr>
          <w:rtl w:val="0"/>
        </w:rPr>
      </w:r>
    </w:p>
    <w:p w:rsidR="00000000" w:rsidDel="00000000" w:rsidP="00000000" w:rsidRDefault="00000000" w:rsidRPr="00000000" w14:paraId="00000021">
      <w:pPr>
        <w:spacing w:line="460" w:lineRule="auto"/>
        <w:ind w:left="823" w:hanging="823"/>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四、本會董事、監事、執行長、工作人員或其他出席或列席董事或監事會議之人員，對於會議事項與其自身有利害關係者，應於當次會議時說明其利害關係之重要內容，且應迴避不得加入討論及表決，亦不得代理行使表決權。董事及監事間亦應自律，不得不當相互支援。</w:t>
      </w:r>
    </w:p>
    <w:p w:rsidR="00000000" w:rsidDel="00000000" w:rsidP="00000000" w:rsidRDefault="00000000" w:rsidRPr="00000000" w14:paraId="00000022">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本會董事或監事之配偶、二親等內血親，就前項會議事項有利害關係者，視為董事或監事就該事項有自身利害關係。</w:t>
      </w:r>
    </w:p>
    <w:p w:rsidR="00000000" w:rsidDel="00000000" w:rsidP="00000000" w:rsidRDefault="00000000" w:rsidRPr="00000000" w14:paraId="00000023">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本會人員於執行業務時，發現自身或可能使其配偶、父母、子女或與其有利害關係人獲得不正當利益之情形，應將相關情事同時陳報直屬主管及通知本會秘書處。</w:t>
      </w:r>
    </w:p>
    <w:p w:rsidR="00000000" w:rsidDel="00000000" w:rsidP="00000000" w:rsidRDefault="00000000" w:rsidRPr="00000000" w14:paraId="00000024">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十五、本會應就具較高不誠信行為風險之經營活動，建立有效之會計制度，並應隨時檢討，以確保該制度之設計及執行持續有效。</w:t>
      </w:r>
    </w:p>
    <w:p w:rsidR="00000000" w:rsidDel="00000000" w:rsidP="00000000" w:rsidRDefault="00000000" w:rsidRPr="00000000" w14:paraId="00000025">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十六、本會應定期對董事、監事、執行長及工作人員舉辦教育訓練與宣導，使其充分瞭解本會誠信經營之決心、政策、本規範及違反誠信行為之後果。</w:t>
      </w:r>
    </w:p>
    <w:p w:rsidR="00000000" w:rsidDel="00000000" w:rsidP="00000000" w:rsidRDefault="00000000" w:rsidRPr="00000000" w14:paraId="00000026">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十七、本會人員應避免與涉有不誠信行為者進行業務往來，以落實本會之誠信經營政策。</w:t>
      </w:r>
    </w:p>
    <w:p w:rsidR="00000000" w:rsidDel="00000000" w:rsidP="00000000" w:rsidRDefault="00000000" w:rsidRPr="00000000" w14:paraId="00000027">
      <w:pPr>
        <w:spacing w:line="460" w:lineRule="auto"/>
        <w:ind w:left="792" w:hanging="792"/>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十八、本會為瞭解業務往來對象誠信經營之狀況，得檢視下列事項：</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60" w:lineRule="auto"/>
        <w:ind w:left="156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往來對象之營運所在地、組織結構、經營政策及款項匯付地點。</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60" w:lineRule="auto"/>
        <w:ind w:left="156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往來對象之長期經營狀況及信譽。</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60" w:lineRule="auto"/>
        <w:ind w:left="156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採取使用公開資訊進行查詢、詢問政府機關（構）或其他有公信力之國內機構等有助於評估往來對象誠信經營風險之措施。</w:t>
      </w:r>
    </w:p>
    <w:p w:rsidR="00000000" w:rsidDel="00000000" w:rsidP="00000000" w:rsidRDefault="00000000" w:rsidRPr="00000000" w14:paraId="0000002B">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十九、本會對於違反本規範行為之人，經查證屬實者，應作成裁定處分，要求行為人停止相關行為，依人事作業程序由董事會或報行政院予以解聘，並於網站公布違反內容、日期及處理情形等資訊，必要時訴諸法律程序，請求損害賠償。但行為人具公務員身分者，本會作成裁定處分前，應先徵詢其服務機關、學校意見。</w:t>
      </w:r>
    </w:p>
    <w:p w:rsidR="00000000" w:rsidDel="00000000" w:rsidP="00000000" w:rsidRDefault="00000000" w:rsidRPr="00000000" w14:paraId="0000002C">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前項行為人，如不服本會裁定處分，得以書面或電子郵件等方式，陳明姓名、住所、事實、理由及證據，向本會提出申訴。</w:t>
      </w:r>
    </w:p>
    <w:p w:rsidR="00000000" w:rsidDel="00000000" w:rsidP="00000000" w:rsidRDefault="00000000" w:rsidRPr="00000000" w14:paraId="0000002D">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本會受理前項申訴，應邀集國防部有關單位、行為人服務機關、學校，指派代表組成申訴評議會，並依申訴評議會決議辦理。</w:t>
      </w:r>
    </w:p>
    <w:p w:rsidR="00000000" w:rsidDel="00000000" w:rsidP="00000000" w:rsidRDefault="00000000" w:rsidRPr="00000000" w14:paraId="0000002E">
      <w:pPr>
        <w:spacing w:line="460" w:lineRule="auto"/>
        <w:ind w:left="840" w:hanging="84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二十、本會應於網站揭露誠信經營規範之內容，並公告檢舉信箱service.ndidf@msa.hinet.net及專線(02)85099353，供本會內部及外部人員使用。</w:t>
      </w:r>
    </w:p>
    <w:p w:rsidR="00000000" w:rsidDel="00000000" w:rsidP="00000000" w:rsidRDefault="00000000" w:rsidRPr="00000000" w14:paraId="0000002F">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檢舉人應至少提供下列資訊，資訊有欠缺，經本會通知補正逾期不補正者，得不予處理：</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60" w:lineRule="auto"/>
        <w:ind w:left="157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檢舉人之姓名，以及可聯絡到檢舉人之地址、電話、電子信箱。</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60" w:lineRule="auto"/>
        <w:ind w:left="157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被檢舉人之姓名或其他足資識別被檢舉人身分特徵之資料。</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60" w:lineRule="auto"/>
        <w:ind w:left="1570" w:right="0" w:hanging="7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可供調查之具體事證。</w:t>
      </w:r>
    </w:p>
    <w:p w:rsidR="00000000" w:rsidDel="00000000" w:rsidP="00000000" w:rsidRDefault="00000000" w:rsidRPr="00000000" w14:paraId="00000033">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本會對於檢舉人身分及檢舉內容應予保密，並保護檢舉人不因提出檢舉而遭不當處置。</w:t>
      </w:r>
    </w:p>
    <w:p w:rsidR="00000000" w:rsidDel="00000000" w:rsidP="00000000" w:rsidRDefault="00000000" w:rsidRPr="00000000" w14:paraId="00000034">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檢舉人為本會專任員工，如因揭弊或重大案件屬實，本會得納入年度考績參考，本會管理階層不得無正當理由，而對其為無關聯性之不當處置之措施，包括降級、罰薪、記過、申誡、解僱等。</w:t>
      </w:r>
    </w:p>
    <w:p w:rsidR="00000000" w:rsidDel="00000000" w:rsidP="00000000" w:rsidRDefault="00000000" w:rsidRPr="00000000" w14:paraId="00000035">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檢舉案件涉及董事或管理階層時，應陳報監事調查處理；其餘案件，由監事指定之人員調查處理。</w:t>
      </w:r>
    </w:p>
    <w:p w:rsidR="00000000" w:rsidDel="00000000" w:rsidP="00000000" w:rsidRDefault="00000000" w:rsidRPr="00000000" w14:paraId="00000036">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檢舉案件，經查證屬實被檢舉人確有違反法令或本會誠信經營政策及規定者，應立即要求被檢舉人停止相關行為，依前點第一項規定辦理，並提出改善措施。</w:t>
      </w:r>
    </w:p>
    <w:p w:rsidR="00000000" w:rsidDel="00000000" w:rsidP="00000000" w:rsidRDefault="00000000" w:rsidRPr="00000000" w14:paraId="00000037">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前二項處理結果，應通知所有本會監事，並將改善措施向本會董事會報告。</w:t>
      </w:r>
    </w:p>
    <w:p w:rsidR="00000000" w:rsidDel="00000000" w:rsidP="00000000" w:rsidRDefault="00000000" w:rsidRPr="00000000" w14:paraId="00000038">
      <w:pPr>
        <w:spacing w:line="460" w:lineRule="auto"/>
        <w:ind w:left="850" w:firstLine="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檢舉受理、調查過程及調查結果應留存書面文件，並至少保存五年，其保存得以電子方式為之；保存期限未屆滿前，發生與檢舉內容相關之訴訟時，相關資料應續予保存至相關訴訟確定時為止。</w:t>
      </w:r>
    </w:p>
    <w:p w:rsidR="00000000" w:rsidDel="00000000" w:rsidP="00000000" w:rsidRDefault="00000000" w:rsidRPr="00000000" w14:paraId="00000039">
      <w:pPr>
        <w:spacing w:line="460" w:lineRule="auto"/>
        <w:ind w:left="1120" w:hanging="1120"/>
        <w:jc w:val="both"/>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二十一、本會應定期檢討誠信經營政策及推動措施，以提升誠信經營之成效。</w:t>
      </w:r>
    </w:p>
    <w:p w:rsidR="00000000" w:rsidDel="00000000" w:rsidP="00000000" w:rsidRDefault="00000000" w:rsidRPr="00000000" w14:paraId="0000003A">
      <w:pPr>
        <w:spacing w:line="460" w:lineRule="auto"/>
        <w:ind w:left="840" w:hanging="840"/>
        <w:jc w:val="both"/>
        <w:rPr/>
      </w:pPr>
      <w:r w:rsidDel="00000000" w:rsidR="00000000" w:rsidRPr="00000000">
        <w:rPr>
          <w:rFonts w:ascii="DFKai-SB" w:cs="DFKai-SB" w:eastAsia="DFKai-SB" w:hAnsi="DFKai-SB"/>
          <w:sz w:val="28"/>
          <w:szCs w:val="28"/>
          <w:rtl w:val="0"/>
        </w:rPr>
        <w:t xml:space="preserve">二十二、本規範經董事會決議通過後實施，修正時亦同。</w:t>
      </w:r>
      <w:r w:rsidDel="00000000" w:rsidR="00000000" w:rsidRPr="00000000">
        <w:rPr>
          <w:rtl w:val="0"/>
        </w:rPr>
      </w:r>
    </w:p>
    <w:sectPr>
      <w:footerReference r:id="rId6" w:type="default"/>
      <w:pgSz w:h="16838" w:w="11906" w:orient="portrait"/>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tabs>
        <w:tab w:val="center" w:leader="none" w:pos="4153"/>
        <w:tab w:val="right" w:leader="none" w:pos="8306"/>
      </w:tabs>
      <w:jc w:val="center"/>
      <w:rPr/>
    </w:pPr>
    <w:r w:rsidDel="00000000" w:rsidR="00000000" w:rsidRPr="00000000">
      <w:rPr>
        <w:rFonts w:ascii="Times New Roman" w:cs="Times New Roman" w:eastAsia="Times New Roman" w:hAnsi="Times New Roman"/>
        <w:rtl w:val="0"/>
      </w:rPr>
      <w:t xml:space="preserve">第</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頁，共</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rtl w:val="0"/>
      </w:rPr>
      <w:t xml:space="preserve">頁</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560" w:hanging="720"/>
      </w:pPr>
      <w:rPr/>
    </w:lvl>
    <w:lvl w:ilvl="1">
      <w:start w:val="1"/>
      <w:numFmt w:val="decimal"/>
      <w:lvlText w:val="%2、"/>
      <w:lvlJc w:val="left"/>
      <w:pPr>
        <w:ind w:left="1800" w:hanging="480"/>
      </w:pPr>
      <w:rPr/>
    </w:lvl>
    <w:lvl w:ilvl="2">
      <w:start w:val="1"/>
      <w:numFmt w:val="lowerRoman"/>
      <w:lvlText w:val="%3."/>
      <w:lvlJc w:val="right"/>
      <w:pPr>
        <w:ind w:left="2280" w:hanging="480"/>
      </w:pPr>
      <w:rPr/>
    </w:lvl>
    <w:lvl w:ilvl="3">
      <w:start w:val="1"/>
      <w:numFmt w:val="decimal"/>
      <w:lvlText w:val="%4."/>
      <w:lvlJc w:val="left"/>
      <w:pPr>
        <w:ind w:left="2760" w:hanging="480"/>
      </w:pPr>
      <w:rPr/>
    </w:lvl>
    <w:lvl w:ilvl="4">
      <w:start w:val="1"/>
      <w:numFmt w:val="decimal"/>
      <w:lvlText w:val="%5、"/>
      <w:lvlJc w:val="left"/>
      <w:pPr>
        <w:ind w:left="3240" w:hanging="480"/>
      </w:pPr>
      <w:rPr/>
    </w:lvl>
    <w:lvl w:ilvl="5">
      <w:start w:val="1"/>
      <w:numFmt w:val="lowerRoman"/>
      <w:lvlText w:val="%6."/>
      <w:lvlJc w:val="right"/>
      <w:pPr>
        <w:ind w:left="3720" w:hanging="480"/>
      </w:pPr>
      <w:rPr/>
    </w:lvl>
    <w:lvl w:ilvl="6">
      <w:start w:val="1"/>
      <w:numFmt w:val="decimal"/>
      <w:lvlText w:val="%7."/>
      <w:lvlJc w:val="left"/>
      <w:pPr>
        <w:ind w:left="4200" w:hanging="480"/>
      </w:pPr>
      <w:rPr/>
    </w:lvl>
    <w:lvl w:ilvl="7">
      <w:start w:val="1"/>
      <w:numFmt w:val="decimal"/>
      <w:lvlText w:val="%8、"/>
      <w:lvlJc w:val="left"/>
      <w:pPr>
        <w:ind w:left="4680" w:hanging="480"/>
      </w:pPr>
      <w:rPr/>
    </w:lvl>
    <w:lvl w:ilvl="8">
      <w:start w:val="1"/>
      <w:numFmt w:val="lowerRoman"/>
      <w:lvlText w:val="%9."/>
      <w:lvlJc w:val="right"/>
      <w:pPr>
        <w:ind w:left="5160" w:hanging="480"/>
      </w:pPr>
      <w:rPr/>
    </w:lvl>
  </w:abstractNum>
  <w:abstractNum w:abstractNumId="2">
    <w:lvl w:ilvl="0">
      <w:start w:val="1"/>
      <w:numFmt w:val="decimal"/>
      <w:lvlText w:val="(%1)"/>
      <w:lvlJc w:val="left"/>
      <w:pPr>
        <w:ind w:left="1570" w:hanging="720"/>
      </w:pPr>
      <w:rPr/>
    </w:lvl>
    <w:lvl w:ilvl="1">
      <w:start w:val="1"/>
      <w:numFmt w:val="decimal"/>
      <w:lvlText w:val="%2、"/>
      <w:lvlJc w:val="left"/>
      <w:pPr>
        <w:ind w:left="1810" w:hanging="480"/>
      </w:pPr>
      <w:rPr/>
    </w:lvl>
    <w:lvl w:ilvl="2">
      <w:start w:val="1"/>
      <w:numFmt w:val="lowerRoman"/>
      <w:lvlText w:val="%3."/>
      <w:lvlJc w:val="right"/>
      <w:pPr>
        <w:ind w:left="2290" w:hanging="480"/>
      </w:pPr>
      <w:rPr/>
    </w:lvl>
    <w:lvl w:ilvl="3">
      <w:start w:val="1"/>
      <w:numFmt w:val="decimal"/>
      <w:lvlText w:val="%4."/>
      <w:lvlJc w:val="left"/>
      <w:pPr>
        <w:ind w:left="2770" w:hanging="480"/>
      </w:pPr>
      <w:rPr/>
    </w:lvl>
    <w:lvl w:ilvl="4">
      <w:start w:val="1"/>
      <w:numFmt w:val="decimal"/>
      <w:lvlText w:val="%5、"/>
      <w:lvlJc w:val="left"/>
      <w:pPr>
        <w:ind w:left="3250" w:hanging="480"/>
      </w:pPr>
      <w:rPr/>
    </w:lvl>
    <w:lvl w:ilvl="5">
      <w:start w:val="1"/>
      <w:numFmt w:val="lowerRoman"/>
      <w:lvlText w:val="%6."/>
      <w:lvlJc w:val="right"/>
      <w:pPr>
        <w:ind w:left="3730" w:hanging="480"/>
      </w:pPr>
      <w:rPr/>
    </w:lvl>
    <w:lvl w:ilvl="6">
      <w:start w:val="1"/>
      <w:numFmt w:val="decimal"/>
      <w:lvlText w:val="%7."/>
      <w:lvlJc w:val="left"/>
      <w:pPr>
        <w:ind w:left="4210" w:hanging="480"/>
      </w:pPr>
      <w:rPr/>
    </w:lvl>
    <w:lvl w:ilvl="7">
      <w:start w:val="1"/>
      <w:numFmt w:val="decimal"/>
      <w:lvlText w:val="%8、"/>
      <w:lvlJc w:val="left"/>
      <w:pPr>
        <w:ind w:left="4690" w:hanging="480"/>
      </w:pPr>
      <w:rPr/>
    </w:lvl>
    <w:lvl w:ilvl="8">
      <w:start w:val="1"/>
      <w:numFmt w:val="lowerRoman"/>
      <w:lvlText w:val="%9."/>
      <w:lvlJc w:val="right"/>
      <w:pPr>
        <w:ind w:left="517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